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44C" w:rsidRPr="00CE5B9C" w:rsidRDefault="00EF14D7" w:rsidP="0012488B">
      <w:pPr>
        <w:jc w:val="both"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1198245</wp:posOffset>
            </wp:positionH>
            <wp:positionV relativeFrom="paragraph">
              <wp:posOffset>-645160</wp:posOffset>
            </wp:positionV>
            <wp:extent cx="685800" cy="682625"/>
            <wp:effectExtent l="19050" t="0" r="0" b="0"/>
            <wp:wrapTopAndBottom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05516" w:rsidRPr="0040551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54.35pt;margin-top:-31.7pt;width:237.6pt;height:42pt;z-index:251658240;mso-position-horizontal-relative:text;mso-position-vertical-relative:text" strokecolor="white" strokeweight="0">
            <v:textbox style="mso-next-textbox:#_x0000_s1026">
              <w:txbxContent>
                <w:p w:rsidR="00FF587F" w:rsidRDefault="00FF587F">
                  <w:pPr>
                    <w:pStyle w:val="Titolo1"/>
                    <w:rPr>
                      <w:rFonts w:ascii="Garamond LightCondensed" w:hAnsi="Garamond LightCondensed" w:cs="Garamond LightCondensed"/>
                    </w:rPr>
                  </w:pPr>
                  <w:r>
                    <w:rPr>
                      <w:rFonts w:ascii="Garamond LightCondensed" w:hAnsi="Garamond LightCondensed" w:cs="Garamond LightCondensed"/>
                    </w:rPr>
                    <w:t>FEDERCONSUMATORI</w:t>
                  </w:r>
                </w:p>
                <w:p w:rsidR="00FF587F" w:rsidRDefault="00FF587F">
                  <w:pPr>
                    <w:pStyle w:val="Corpodeltesto"/>
                    <w:jc w:val="both"/>
                    <w:rPr>
                      <w:rFonts w:ascii="Garamond LightCondensed" w:hAnsi="Garamond LightCondensed" w:cs="Garamond LightCondensed"/>
                      <w:spacing w:val="-8"/>
                      <w:sz w:val="18"/>
                      <w:szCs w:val="18"/>
                    </w:rPr>
                  </w:pPr>
                  <w:r>
                    <w:rPr>
                      <w:rFonts w:ascii="Garamond LightCondensed" w:hAnsi="Garamond LightCondensed" w:cs="Garamond LightCondensed"/>
                      <w:spacing w:val="-8"/>
                      <w:sz w:val="26"/>
                      <w:szCs w:val="26"/>
                    </w:rPr>
                    <w:t xml:space="preserve">  </w:t>
                  </w:r>
                  <w:r>
                    <w:rPr>
                      <w:rFonts w:ascii="Garamond LightCondensed" w:hAnsi="Garamond LightCondensed" w:cs="Garamond LightCondensed"/>
                      <w:spacing w:val="-8"/>
                      <w:sz w:val="18"/>
                      <w:szCs w:val="18"/>
                    </w:rPr>
                    <w:t xml:space="preserve"> FEDERAZIONE NAZIONALE CONSUMATORI E UTENTI</w:t>
                  </w:r>
                </w:p>
              </w:txbxContent>
            </v:textbox>
          </v:shape>
        </w:pict>
      </w:r>
    </w:p>
    <w:p w:rsidR="00C808A9" w:rsidRDefault="00C808A9" w:rsidP="002E1B4F"/>
    <w:p w:rsidR="000B5C3D" w:rsidRDefault="000B5C3D" w:rsidP="00B53572">
      <w:pPr>
        <w:jc w:val="both"/>
      </w:pP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b/>
          <w:bCs/>
          <w:color w:val="000000"/>
        </w:rPr>
      </w:pPr>
      <w:r w:rsidRPr="00601993">
        <w:rPr>
          <w:rFonts w:asciiTheme="minorHAnsi" w:hAnsiTheme="minorHAnsi" w:cs="Arial"/>
          <w:b/>
          <w:bCs/>
          <w:color w:val="000000"/>
        </w:rPr>
        <w:t>Ottobre 2011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b/>
          <w:bCs/>
          <w:color w:val="000000"/>
        </w:rPr>
      </w:pP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b/>
          <w:bCs/>
          <w:color w:val="000000"/>
        </w:rPr>
      </w:pPr>
      <w:r w:rsidRPr="00601993">
        <w:rPr>
          <w:rFonts w:asciiTheme="minorHAnsi" w:hAnsiTheme="minorHAnsi" w:cs="Arial"/>
          <w:b/>
          <w:bCs/>
          <w:color w:val="000000"/>
        </w:rPr>
        <w:t xml:space="preserve">RICERCA: UNIVERSITÀ QUANTO </w:t>
      </w:r>
      <w:proofErr w:type="spellStart"/>
      <w:r w:rsidRPr="00601993">
        <w:rPr>
          <w:rFonts w:asciiTheme="minorHAnsi" w:hAnsiTheme="minorHAnsi" w:cs="Arial"/>
          <w:b/>
          <w:bCs/>
          <w:color w:val="000000"/>
        </w:rPr>
        <w:t>MI</w:t>
      </w:r>
      <w:proofErr w:type="spellEnd"/>
      <w:r w:rsidRPr="00601993">
        <w:rPr>
          <w:rFonts w:asciiTheme="minorHAnsi" w:hAnsiTheme="minorHAnsi" w:cs="Arial"/>
          <w:b/>
          <w:bCs/>
          <w:color w:val="000000"/>
        </w:rPr>
        <w:t xml:space="preserve"> COSTI.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b/>
          <w:bCs/>
          <w:color w:val="000000"/>
        </w:rPr>
      </w:pPr>
      <w:r w:rsidRPr="00601993">
        <w:rPr>
          <w:rFonts w:asciiTheme="minorHAnsi" w:hAnsiTheme="minorHAnsi" w:cs="Arial"/>
          <w:b/>
          <w:bCs/>
          <w:color w:val="000000"/>
        </w:rPr>
        <w:t>2° RAPPORTO NAZIONALE FEDERCONSUMATORI SUI COSTI DEGLI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b/>
          <w:bCs/>
          <w:color w:val="000000"/>
        </w:rPr>
      </w:pPr>
      <w:r w:rsidRPr="00601993">
        <w:rPr>
          <w:rFonts w:asciiTheme="minorHAnsi" w:hAnsiTheme="minorHAnsi" w:cs="Arial"/>
          <w:b/>
          <w:bCs/>
          <w:color w:val="000000"/>
        </w:rPr>
        <w:t>ATENEI ITALIANI.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b/>
          <w:bCs/>
          <w:color w:val="000000"/>
        </w:rPr>
      </w:pP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Per il secondo anno consecutivo la Federconsumatori presenta uno studio sui costi delle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tasse delle Università Italiane. L’elaborazione dei dati è stata effettuata calcolando le tasse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secondo le guide e i modelli presenti, sui siti web degli atenei presi in considerazione.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b/>
          <w:bCs/>
          <w:color w:val="000000"/>
        </w:rPr>
      </w:pPr>
      <w:r w:rsidRPr="00601993">
        <w:rPr>
          <w:rFonts w:asciiTheme="minorHAnsi" w:hAnsiTheme="minorHAnsi" w:cs="Arial"/>
          <w:b/>
          <w:bCs/>
          <w:color w:val="000000"/>
        </w:rPr>
        <w:t>1. La scelta degli atenei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Gli Atenei selezionati sono i medesimi presi in considerazione nel 1° Rapporto, la ricerca è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stata svolta suddividendo l’Italia in tre macroaree: Nord, Centro e Sud (inserendo le Isole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in quest’ultima), e quindi selezionando per ciascuna delle tre macroaree le tre regioni con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il maggior numero di studenti (ISTAT, annuario statistico 2009). Per il Nord sono state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selezionate Lombardia, Piemonte e Veneto; per il Centro sono state selezionate Lazio,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Toscana e Emilia-Romagna, ed al Sud, Campania, Puglia e Sicilia.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Una volta individuate le regioni sono stati selezionati due atenei per ognuna, in base alla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grandezza degli stessi (numero totale degli iscritti). Inoltre è stata seguita la classifica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presentata dal Censis per l’A.A. 2008/2009, elaborata sulla base dei seguenti indicatori: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Servizi, Borse, Strutture, Web e Internazionalizzazione.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b/>
          <w:bCs/>
          <w:color w:val="000000"/>
        </w:rPr>
      </w:pPr>
      <w:r w:rsidRPr="00601993">
        <w:rPr>
          <w:rFonts w:asciiTheme="minorHAnsi" w:hAnsiTheme="minorHAnsi" w:cs="Arial"/>
          <w:b/>
          <w:bCs/>
          <w:color w:val="000000"/>
        </w:rPr>
        <w:t>2. Le fasce di riferimento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 xml:space="preserve">Le tasse sono state calcolate prendendo ad esempio dei valori di </w:t>
      </w:r>
      <w:proofErr w:type="spellStart"/>
      <w:r w:rsidRPr="00601993">
        <w:rPr>
          <w:rFonts w:asciiTheme="minorHAnsi" w:hAnsiTheme="minorHAnsi" w:cs="Arial"/>
          <w:color w:val="000000"/>
        </w:rPr>
        <w:t>I.S.E.E.</w:t>
      </w:r>
      <w:proofErr w:type="spellEnd"/>
      <w:r w:rsidRPr="00601993">
        <w:rPr>
          <w:rFonts w:asciiTheme="minorHAnsi" w:hAnsiTheme="minorHAnsi" w:cs="Arial"/>
          <w:color w:val="000000"/>
        </w:rPr>
        <w:t xml:space="preserve"> fissi da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confrontare con i vari modelli delle Università. La scelta di creare delle fasce generiche si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è resa necessaria poiché ogni Ateneo applica un modello diverso per calcolare i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contributi.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 xml:space="preserve">Sono state selezionate 5 fasce </w:t>
      </w:r>
      <w:proofErr w:type="spellStart"/>
      <w:r w:rsidRPr="00601993">
        <w:rPr>
          <w:rFonts w:asciiTheme="minorHAnsi" w:hAnsiTheme="minorHAnsi" w:cs="Arial"/>
          <w:color w:val="000000"/>
        </w:rPr>
        <w:t>I.S.E.E.</w:t>
      </w:r>
      <w:proofErr w:type="spellEnd"/>
      <w:r w:rsidRPr="00601993">
        <w:rPr>
          <w:rFonts w:asciiTheme="minorHAnsi" w:hAnsiTheme="minorHAnsi" w:cs="Arial"/>
          <w:color w:val="000000"/>
        </w:rPr>
        <w:t xml:space="preserve"> suddivise come mostrato in tabella 1.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Tabella 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31"/>
        <w:gridCol w:w="1866"/>
        <w:gridCol w:w="1842"/>
        <w:gridCol w:w="1846"/>
        <w:gridCol w:w="1874"/>
      </w:tblGrid>
      <w:tr w:rsidR="00EF14D7" w:rsidRPr="00601993" w:rsidTr="00F72D32">
        <w:trPr>
          <w:trHeight w:val="370"/>
        </w:trPr>
        <w:tc>
          <w:tcPr>
            <w:tcW w:w="1831" w:type="dxa"/>
          </w:tcPr>
          <w:p w:rsidR="00EF14D7" w:rsidRPr="00601993" w:rsidRDefault="00EF14D7" w:rsidP="00601993">
            <w:pPr>
              <w:keepNext/>
              <w:jc w:val="both"/>
              <w:outlineLvl w:val="0"/>
              <w:rPr>
                <w:rFonts w:asciiTheme="minorHAnsi" w:hAnsiTheme="minorHAnsi" w:cs="Arial"/>
                <w:b/>
                <w:spacing w:val="-10"/>
              </w:rPr>
            </w:pPr>
            <w:r w:rsidRPr="00601993">
              <w:rPr>
                <w:rFonts w:asciiTheme="minorHAnsi" w:hAnsiTheme="minorHAnsi" w:cs="Arial"/>
                <w:b/>
                <w:spacing w:val="-10"/>
              </w:rPr>
              <w:t>Prima</w:t>
            </w:r>
          </w:p>
        </w:tc>
        <w:tc>
          <w:tcPr>
            <w:tcW w:w="1866" w:type="dxa"/>
          </w:tcPr>
          <w:p w:rsidR="00EF14D7" w:rsidRPr="00601993" w:rsidRDefault="00EF14D7" w:rsidP="00601993">
            <w:pPr>
              <w:keepNext/>
              <w:jc w:val="both"/>
              <w:outlineLvl w:val="0"/>
              <w:rPr>
                <w:rFonts w:asciiTheme="minorHAnsi" w:hAnsiTheme="minorHAnsi" w:cs="Arial"/>
                <w:spacing w:val="-10"/>
              </w:rPr>
            </w:pPr>
            <w:r w:rsidRPr="00601993">
              <w:rPr>
                <w:rFonts w:asciiTheme="minorHAnsi" w:hAnsiTheme="minorHAnsi" w:cs="Arial"/>
                <w:b/>
                <w:spacing w:val="-10"/>
              </w:rPr>
              <w:t>Seconda</w:t>
            </w:r>
          </w:p>
        </w:tc>
        <w:tc>
          <w:tcPr>
            <w:tcW w:w="1842" w:type="dxa"/>
          </w:tcPr>
          <w:p w:rsidR="00EF14D7" w:rsidRPr="00601993" w:rsidRDefault="00EF14D7" w:rsidP="00601993">
            <w:pPr>
              <w:keepNext/>
              <w:jc w:val="both"/>
              <w:outlineLvl w:val="0"/>
              <w:rPr>
                <w:rFonts w:asciiTheme="minorHAnsi" w:hAnsiTheme="minorHAnsi" w:cs="Arial"/>
                <w:spacing w:val="-10"/>
              </w:rPr>
            </w:pPr>
            <w:r w:rsidRPr="00601993">
              <w:rPr>
                <w:rFonts w:asciiTheme="minorHAnsi" w:hAnsiTheme="minorHAnsi" w:cs="Arial"/>
                <w:b/>
                <w:spacing w:val="-10"/>
              </w:rPr>
              <w:t>Terza</w:t>
            </w:r>
          </w:p>
        </w:tc>
        <w:tc>
          <w:tcPr>
            <w:tcW w:w="1846" w:type="dxa"/>
          </w:tcPr>
          <w:p w:rsidR="00EF14D7" w:rsidRPr="00601993" w:rsidRDefault="00EF14D7" w:rsidP="00601993">
            <w:pPr>
              <w:keepNext/>
              <w:jc w:val="both"/>
              <w:outlineLvl w:val="0"/>
              <w:rPr>
                <w:rFonts w:asciiTheme="minorHAnsi" w:hAnsiTheme="minorHAnsi" w:cs="Arial"/>
                <w:spacing w:val="-10"/>
              </w:rPr>
            </w:pPr>
            <w:r w:rsidRPr="00601993">
              <w:rPr>
                <w:rFonts w:asciiTheme="minorHAnsi" w:hAnsiTheme="minorHAnsi" w:cs="Arial"/>
                <w:b/>
                <w:spacing w:val="-10"/>
              </w:rPr>
              <w:t>Quarta</w:t>
            </w:r>
          </w:p>
        </w:tc>
        <w:tc>
          <w:tcPr>
            <w:tcW w:w="1874" w:type="dxa"/>
          </w:tcPr>
          <w:p w:rsidR="00EF14D7" w:rsidRPr="00601993" w:rsidRDefault="00EF14D7" w:rsidP="00601993">
            <w:pPr>
              <w:keepNext/>
              <w:jc w:val="both"/>
              <w:outlineLvl w:val="0"/>
              <w:rPr>
                <w:rFonts w:asciiTheme="minorHAnsi" w:hAnsiTheme="minorHAnsi" w:cs="Arial"/>
                <w:spacing w:val="-10"/>
              </w:rPr>
            </w:pPr>
            <w:r w:rsidRPr="00601993">
              <w:rPr>
                <w:rFonts w:asciiTheme="minorHAnsi" w:hAnsiTheme="minorHAnsi" w:cs="Arial"/>
                <w:b/>
                <w:spacing w:val="-10"/>
              </w:rPr>
              <w:t>Quinta</w:t>
            </w:r>
          </w:p>
        </w:tc>
      </w:tr>
      <w:tr w:rsidR="00EF14D7" w:rsidRPr="00601993" w:rsidTr="00F72D32">
        <w:trPr>
          <w:trHeight w:val="753"/>
        </w:trPr>
        <w:tc>
          <w:tcPr>
            <w:tcW w:w="1831" w:type="dxa"/>
          </w:tcPr>
          <w:p w:rsidR="00EF14D7" w:rsidRPr="00601993" w:rsidRDefault="00EF14D7" w:rsidP="00601993">
            <w:pPr>
              <w:keepNext/>
              <w:jc w:val="both"/>
              <w:outlineLvl w:val="0"/>
              <w:rPr>
                <w:rFonts w:asciiTheme="minorHAnsi" w:hAnsiTheme="minorHAnsi" w:cs="Arial"/>
                <w:spacing w:val="-10"/>
              </w:rPr>
            </w:pPr>
            <w:r w:rsidRPr="00601993">
              <w:rPr>
                <w:rFonts w:asciiTheme="minorHAnsi" w:hAnsiTheme="minorHAnsi" w:cs="Arial"/>
                <w:spacing w:val="-10"/>
              </w:rPr>
              <w:t>Fino a 6.000 Euro</w:t>
            </w:r>
          </w:p>
        </w:tc>
        <w:tc>
          <w:tcPr>
            <w:tcW w:w="1866" w:type="dxa"/>
          </w:tcPr>
          <w:p w:rsidR="00EF14D7" w:rsidRPr="00601993" w:rsidRDefault="00EF14D7" w:rsidP="00601993">
            <w:pPr>
              <w:keepNext/>
              <w:jc w:val="both"/>
              <w:outlineLvl w:val="0"/>
              <w:rPr>
                <w:rFonts w:asciiTheme="minorHAnsi" w:hAnsiTheme="minorHAnsi" w:cs="Arial"/>
                <w:spacing w:val="-10"/>
              </w:rPr>
            </w:pPr>
            <w:r w:rsidRPr="00601993">
              <w:rPr>
                <w:rFonts w:asciiTheme="minorHAnsi" w:hAnsiTheme="minorHAnsi" w:cs="Arial"/>
                <w:spacing w:val="-10"/>
              </w:rPr>
              <w:t>Fino a 10.000 Euro</w:t>
            </w:r>
          </w:p>
        </w:tc>
        <w:tc>
          <w:tcPr>
            <w:tcW w:w="1842" w:type="dxa"/>
          </w:tcPr>
          <w:p w:rsidR="00EF14D7" w:rsidRPr="00601993" w:rsidRDefault="00EF14D7" w:rsidP="00601993">
            <w:pPr>
              <w:keepNext/>
              <w:jc w:val="both"/>
              <w:outlineLvl w:val="0"/>
              <w:rPr>
                <w:rFonts w:asciiTheme="minorHAnsi" w:hAnsiTheme="minorHAnsi" w:cs="Arial"/>
                <w:spacing w:val="-10"/>
              </w:rPr>
            </w:pPr>
            <w:r w:rsidRPr="00601993">
              <w:rPr>
                <w:rFonts w:asciiTheme="minorHAnsi" w:hAnsiTheme="minorHAnsi" w:cs="Arial"/>
                <w:spacing w:val="-10"/>
              </w:rPr>
              <w:t>Fino a 20.000 Euro</w:t>
            </w:r>
          </w:p>
        </w:tc>
        <w:tc>
          <w:tcPr>
            <w:tcW w:w="1846" w:type="dxa"/>
          </w:tcPr>
          <w:p w:rsidR="00EF14D7" w:rsidRPr="00601993" w:rsidRDefault="00EF14D7" w:rsidP="00601993">
            <w:pPr>
              <w:keepNext/>
              <w:jc w:val="both"/>
              <w:outlineLvl w:val="0"/>
              <w:rPr>
                <w:rFonts w:asciiTheme="minorHAnsi" w:hAnsiTheme="minorHAnsi" w:cs="Arial"/>
                <w:spacing w:val="-10"/>
              </w:rPr>
            </w:pPr>
            <w:r w:rsidRPr="00601993">
              <w:rPr>
                <w:rFonts w:asciiTheme="minorHAnsi" w:hAnsiTheme="minorHAnsi" w:cs="Arial"/>
                <w:spacing w:val="-10"/>
              </w:rPr>
              <w:t>Fino a 30.000 Euro</w:t>
            </w:r>
          </w:p>
        </w:tc>
        <w:tc>
          <w:tcPr>
            <w:tcW w:w="1874" w:type="dxa"/>
          </w:tcPr>
          <w:p w:rsidR="00EF14D7" w:rsidRPr="00601993" w:rsidRDefault="00EF14D7" w:rsidP="00601993">
            <w:pPr>
              <w:keepNext/>
              <w:jc w:val="both"/>
              <w:outlineLvl w:val="0"/>
              <w:rPr>
                <w:rFonts w:asciiTheme="minorHAnsi" w:hAnsiTheme="minorHAnsi" w:cs="Arial"/>
                <w:spacing w:val="-10"/>
              </w:rPr>
            </w:pPr>
            <w:r w:rsidRPr="00601993">
              <w:rPr>
                <w:rFonts w:asciiTheme="minorHAnsi" w:hAnsiTheme="minorHAnsi" w:cs="Arial"/>
                <w:spacing w:val="-10"/>
              </w:rPr>
              <w:t>Massimo</w:t>
            </w:r>
          </w:p>
        </w:tc>
      </w:tr>
    </w:tbl>
    <w:p w:rsidR="00EF14D7" w:rsidRPr="00B426D6" w:rsidRDefault="00EF14D7" w:rsidP="00601993">
      <w:pPr>
        <w:adjustRightInd w:val="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B426D6">
        <w:rPr>
          <w:rFonts w:asciiTheme="minorHAnsi" w:hAnsiTheme="minorHAnsi" w:cs="Arial"/>
          <w:color w:val="000000"/>
          <w:sz w:val="22"/>
          <w:szCs w:val="22"/>
        </w:rPr>
        <w:t>N.B. Alcune Università non utilizzano l’ISEE/ISEEU per il calcolo delle tasse. In questo caso sono stati</w:t>
      </w:r>
    </w:p>
    <w:p w:rsidR="00EF14D7" w:rsidRPr="00B426D6" w:rsidRDefault="00EF14D7" w:rsidP="00601993">
      <w:pPr>
        <w:adjustRightInd w:val="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B426D6">
        <w:rPr>
          <w:rFonts w:asciiTheme="minorHAnsi" w:hAnsiTheme="minorHAnsi" w:cs="Arial"/>
          <w:color w:val="000000"/>
          <w:sz w:val="22"/>
          <w:szCs w:val="22"/>
        </w:rPr>
        <w:t>ricalcolati i valori ISEE, e adattati in base alla metodologie applicate da questi atenei, in modo che i vari dati</w:t>
      </w:r>
    </w:p>
    <w:p w:rsidR="00EF14D7" w:rsidRPr="00B426D6" w:rsidRDefault="00EF14D7" w:rsidP="00601993">
      <w:pPr>
        <w:adjustRightInd w:val="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B426D6">
        <w:rPr>
          <w:rFonts w:asciiTheme="minorHAnsi" w:hAnsiTheme="minorHAnsi" w:cs="Arial"/>
          <w:color w:val="000000"/>
          <w:sz w:val="22"/>
          <w:szCs w:val="22"/>
        </w:rPr>
        <w:t>potessero essere comparabili tra di loro.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b/>
          <w:bCs/>
          <w:i/>
          <w:iCs/>
          <w:color w:val="000000"/>
        </w:rPr>
      </w:pP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b/>
          <w:bCs/>
          <w:i/>
          <w:iCs/>
          <w:color w:val="000000"/>
        </w:rPr>
      </w:pPr>
      <w:r w:rsidRPr="00601993">
        <w:rPr>
          <w:rFonts w:asciiTheme="minorHAnsi" w:hAnsiTheme="minorHAnsi" w:cs="Arial"/>
          <w:b/>
          <w:bCs/>
          <w:i/>
          <w:iCs/>
          <w:color w:val="000000"/>
        </w:rPr>
        <w:t>2.1 Precisazione sulla prima fascia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Anche quest’anno abbiamo scelto di calcolare le tasse per la fascia più bassa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 xml:space="preserve">considerando un </w:t>
      </w:r>
      <w:proofErr w:type="spellStart"/>
      <w:r w:rsidRPr="00601993">
        <w:rPr>
          <w:rFonts w:asciiTheme="minorHAnsi" w:hAnsiTheme="minorHAnsi" w:cs="Arial"/>
          <w:color w:val="000000"/>
        </w:rPr>
        <w:t>I.S.E.E.</w:t>
      </w:r>
      <w:proofErr w:type="spellEnd"/>
      <w:r w:rsidRPr="00601993">
        <w:rPr>
          <w:rFonts w:asciiTheme="minorHAnsi" w:hAnsiTheme="minorHAnsi" w:cs="Arial"/>
          <w:color w:val="000000"/>
        </w:rPr>
        <w:t xml:space="preserve"> di 6.000€ che corrisponde (circa) a quello di una famiglia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monoreddito di tre persone.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In tutte le Università e in tutte le Regioni molti studenti che corrispondono a questa fascia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lastRenderedPageBreak/>
        <w:t>di reddito possono usufruire degli aiuti agli studi che consistono sia in Borse di studio, in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agevolazioni per le tasse, che in posto alloggio presso le residenze universitarie.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Quindi sottolineiamo che la maggior parte degli studenti qui considerati di prima fascia non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paga l’ammontare calcolato, ma soltanto la tassa regionale e le imposte di bollo (spesso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rimborsate).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La scelta di proporre comunque un calcolo che considerasse questa fascia è dovuta al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progressivo calo dei sostegni, ed all’aumento dell’</w:t>
      </w:r>
      <w:r w:rsidRPr="00601993">
        <w:rPr>
          <w:rFonts w:asciiTheme="minorHAnsi" w:hAnsiTheme="minorHAnsi" w:cs="Arial"/>
          <w:b/>
          <w:bCs/>
          <w:color w:val="000000"/>
        </w:rPr>
        <w:t xml:space="preserve">evasione fiscale </w:t>
      </w:r>
      <w:r w:rsidRPr="00601993">
        <w:rPr>
          <w:rFonts w:asciiTheme="minorHAnsi" w:hAnsiTheme="minorHAnsi" w:cs="Arial"/>
          <w:color w:val="000000"/>
        </w:rPr>
        <w:t>che porta ogni anno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all’aumento degli studenti di prima fascia molti dei quali figli di evasori, con la logica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conseguenza che i sostegni messi in campo dagli Atenei e dalle regioni non bastano per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coprire tutta la domanda.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b/>
          <w:bCs/>
          <w:color w:val="000000"/>
        </w:rPr>
      </w:pP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b/>
          <w:bCs/>
          <w:color w:val="000000"/>
        </w:rPr>
      </w:pPr>
      <w:r w:rsidRPr="00601993">
        <w:rPr>
          <w:rFonts w:asciiTheme="minorHAnsi" w:hAnsiTheme="minorHAnsi" w:cs="Arial"/>
          <w:b/>
          <w:bCs/>
          <w:color w:val="000000"/>
        </w:rPr>
        <w:t>3. Evidenze Principali</w:t>
      </w:r>
    </w:p>
    <w:p w:rsidR="00EF14D7" w:rsidRPr="00601993" w:rsidRDefault="004A1E90" w:rsidP="00601993">
      <w:pPr>
        <w:adjustRightInd w:val="0"/>
        <w:jc w:val="both"/>
        <w:rPr>
          <w:rFonts w:asciiTheme="minorHAnsi" w:hAnsiTheme="minorHAnsi" w:cs="Arial"/>
          <w:b/>
          <w:bCs/>
          <w:color w:val="000000"/>
        </w:rPr>
      </w:pPr>
      <w:r>
        <w:rPr>
          <w:rFonts w:asciiTheme="minorHAnsi" w:hAnsiTheme="minorHAnsi" w:cs="Arial"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24B3A">
        <w:rPr>
          <w:rFonts w:asciiTheme="minorHAnsi" w:hAnsiTheme="minorHAnsi" w:cs="Arial"/>
          <w:color w:val="000000"/>
        </w:rPr>
        <w:t xml:space="preserve">    Anche in questa II </w:t>
      </w:r>
      <w:r w:rsidR="00EF14D7" w:rsidRPr="00601993">
        <w:rPr>
          <w:rFonts w:asciiTheme="minorHAnsi" w:hAnsiTheme="minorHAnsi" w:cs="Arial"/>
          <w:color w:val="000000"/>
        </w:rPr>
        <w:t xml:space="preserve">edizione del Rapporto </w:t>
      </w:r>
      <w:r w:rsidR="00EF14D7" w:rsidRPr="00601993">
        <w:rPr>
          <w:rFonts w:asciiTheme="minorHAnsi" w:hAnsiTheme="minorHAnsi" w:cs="Arial"/>
          <w:b/>
          <w:bCs/>
          <w:color w:val="000000"/>
        </w:rPr>
        <w:t>gli atenei del Nord si confermano i più cari:</w:t>
      </w:r>
    </w:p>
    <w:p w:rsidR="00EF14D7" w:rsidRPr="00601993" w:rsidRDefault="005D5805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b/>
          <w:bCs/>
          <w:color w:val="000000"/>
        </w:rPr>
        <w:t>del 12</w:t>
      </w:r>
      <w:r w:rsidR="00EF14D7" w:rsidRPr="00601993">
        <w:rPr>
          <w:rFonts w:asciiTheme="minorHAnsi" w:hAnsiTheme="minorHAnsi" w:cs="Arial"/>
          <w:b/>
          <w:bCs/>
          <w:color w:val="000000"/>
        </w:rPr>
        <w:t>,</w:t>
      </w:r>
      <w:r>
        <w:rPr>
          <w:rFonts w:asciiTheme="minorHAnsi" w:hAnsiTheme="minorHAnsi" w:cs="Arial"/>
          <w:b/>
          <w:bCs/>
          <w:color w:val="000000"/>
        </w:rPr>
        <w:t>18</w:t>
      </w:r>
      <w:r w:rsidR="00EF14D7" w:rsidRPr="00601993">
        <w:rPr>
          <w:rFonts w:asciiTheme="minorHAnsi" w:hAnsiTheme="minorHAnsi" w:cs="Arial"/>
          <w:b/>
          <w:bCs/>
          <w:color w:val="000000"/>
        </w:rPr>
        <w:t>% rispetto alla media nazionale se si considera la prima fascia</w:t>
      </w:r>
      <w:r w:rsidR="001F6911">
        <w:rPr>
          <w:rFonts w:asciiTheme="minorHAnsi" w:hAnsiTheme="minorHAnsi" w:cs="Arial"/>
          <w:color w:val="000000"/>
        </w:rPr>
        <w:t>, del 16</w:t>
      </w:r>
      <w:r w:rsidR="00EF14D7" w:rsidRPr="00601993">
        <w:rPr>
          <w:rFonts w:asciiTheme="minorHAnsi" w:hAnsiTheme="minorHAnsi" w:cs="Arial"/>
          <w:color w:val="000000"/>
        </w:rPr>
        <w:t>,</w:t>
      </w:r>
      <w:r w:rsidR="001F6911">
        <w:rPr>
          <w:rFonts w:asciiTheme="minorHAnsi" w:hAnsiTheme="minorHAnsi" w:cs="Arial"/>
          <w:color w:val="000000"/>
        </w:rPr>
        <w:t>29</w:t>
      </w:r>
      <w:r w:rsidR="00EF14D7" w:rsidRPr="00601993">
        <w:rPr>
          <w:rFonts w:asciiTheme="minorHAnsi" w:hAnsiTheme="minorHAnsi" w:cs="Arial"/>
          <w:color w:val="000000"/>
        </w:rPr>
        <w:t>% per la terza fascia e del 23,23% se si considera il massimo importo</w:t>
      </w:r>
      <w:r w:rsidR="00E679AF">
        <w:rPr>
          <w:rFonts w:asciiTheme="minorHAnsi" w:hAnsiTheme="minorHAnsi" w:cs="Arial"/>
          <w:color w:val="000000"/>
        </w:rPr>
        <w:t xml:space="preserve"> </w:t>
      </w:r>
      <w:r w:rsidR="00EF14D7" w:rsidRPr="00601993">
        <w:rPr>
          <w:rFonts w:asciiTheme="minorHAnsi" w:hAnsiTheme="minorHAnsi" w:cs="Arial"/>
          <w:color w:val="000000"/>
        </w:rPr>
        <w:t>dovuto.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 xml:space="preserve">Il divario Nord-Sud, per quanto concerne la </w:t>
      </w:r>
      <w:r w:rsidR="00A011FC">
        <w:rPr>
          <w:rFonts w:asciiTheme="minorHAnsi" w:hAnsiTheme="minorHAnsi" w:cs="Arial"/>
          <w:color w:val="000000"/>
        </w:rPr>
        <w:t>prima fascia, si attesta sul +30,21</w:t>
      </w:r>
      <w:r w:rsidRPr="00601993">
        <w:rPr>
          <w:rFonts w:asciiTheme="minorHAnsi" w:hAnsiTheme="minorHAnsi" w:cs="Arial"/>
          <w:color w:val="000000"/>
        </w:rPr>
        <w:t>% (era il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25,27% nel 2010), e del 68% quando si prende in considerazione la fascia relativa al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b/>
          <w:bCs/>
          <w:color w:val="000000"/>
        </w:rPr>
      </w:pPr>
      <w:r w:rsidRPr="00601993">
        <w:rPr>
          <w:rFonts w:asciiTheme="minorHAnsi" w:hAnsiTheme="minorHAnsi" w:cs="Arial"/>
          <w:color w:val="000000"/>
        </w:rPr>
        <w:t xml:space="preserve">massimo importo dovuto: di conseguenza </w:t>
      </w:r>
      <w:r w:rsidRPr="00601993">
        <w:rPr>
          <w:rFonts w:asciiTheme="minorHAnsi" w:hAnsiTheme="minorHAnsi" w:cs="Arial"/>
          <w:b/>
          <w:bCs/>
          <w:color w:val="000000"/>
        </w:rPr>
        <w:t>non dover dichiarare il proprio reddito costa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b/>
          <w:bCs/>
          <w:color w:val="000000"/>
        </w:rPr>
        <w:t>meno al Sud</w:t>
      </w:r>
      <w:r w:rsidRPr="00601993">
        <w:rPr>
          <w:rFonts w:asciiTheme="minorHAnsi" w:hAnsiTheme="minorHAnsi" w:cs="Arial"/>
          <w:color w:val="000000"/>
        </w:rPr>
        <w:t>.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 xml:space="preserve">In termini generali, sono le Università meridionali ad applicare le </w:t>
      </w:r>
      <w:r w:rsidRPr="00601993">
        <w:rPr>
          <w:rFonts w:asciiTheme="minorHAnsi" w:hAnsiTheme="minorHAnsi" w:cs="Arial"/>
          <w:b/>
          <w:bCs/>
          <w:color w:val="000000"/>
        </w:rPr>
        <w:t>tasse più basse</w:t>
      </w:r>
      <w:r w:rsidRPr="00601993">
        <w:rPr>
          <w:rFonts w:asciiTheme="minorHAnsi" w:hAnsiTheme="minorHAnsi" w:cs="Arial"/>
          <w:color w:val="000000"/>
        </w:rPr>
        <w:t>, con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b/>
          <w:bCs/>
          <w:color w:val="000000"/>
        </w:rPr>
        <w:t xml:space="preserve">l’Università Aldo Moro di Bari </w:t>
      </w:r>
      <w:r w:rsidRPr="00601993">
        <w:rPr>
          <w:rFonts w:asciiTheme="minorHAnsi" w:hAnsiTheme="minorHAnsi" w:cs="Arial"/>
          <w:color w:val="000000"/>
        </w:rPr>
        <w:t>che si conferma l’Ateneo con le tasse più basse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(considerando la prima fascia), ed comunque in Puglia la regione dove studiare costa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b/>
          <w:bCs/>
          <w:color w:val="000000"/>
        </w:rPr>
      </w:pPr>
      <w:r w:rsidRPr="00601993">
        <w:rPr>
          <w:rFonts w:asciiTheme="minorHAnsi" w:hAnsiTheme="minorHAnsi" w:cs="Arial"/>
          <w:color w:val="000000"/>
        </w:rPr>
        <w:t xml:space="preserve">meno. </w:t>
      </w:r>
      <w:r w:rsidRPr="00601993">
        <w:rPr>
          <w:rFonts w:asciiTheme="minorHAnsi" w:hAnsiTheme="minorHAnsi" w:cs="Arial"/>
          <w:b/>
          <w:bCs/>
          <w:color w:val="000000"/>
        </w:rPr>
        <w:t>Però, per quanto riguarda i due Atenei pugliesi bisogna sottolineare che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b/>
          <w:bCs/>
          <w:color w:val="000000"/>
        </w:rPr>
      </w:pPr>
      <w:r w:rsidRPr="00601993">
        <w:rPr>
          <w:rFonts w:asciiTheme="minorHAnsi" w:hAnsiTheme="minorHAnsi" w:cs="Arial"/>
          <w:b/>
          <w:bCs/>
          <w:color w:val="000000"/>
        </w:rPr>
        <w:t>parte dell’importo della retta è dovuta al merito: una votazione media bassa o un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b/>
          <w:bCs/>
          <w:color w:val="000000"/>
        </w:rPr>
      </w:pPr>
      <w:r w:rsidRPr="00601993">
        <w:rPr>
          <w:rFonts w:asciiTheme="minorHAnsi" w:hAnsiTheme="minorHAnsi" w:cs="Arial"/>
          <w:b/>
          <w:bCs/>
          <w:color w:val="000000"/>
        </w:rPr>
        <w:t>basso numero di crediti conseguiti, quindi, si traduce in un aumento delle tasse.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Al secondo posto tra le Università meno costose si trova l’Università “Alma Mater” di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Bologna che per chi ha un ISEE inferiore a 20.000€ applica delle tasse inferiori del 35%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rispetto alla media nazionale. Dato interessante se si considera che l’Ateneo felsineo è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quello che meglio si classifica nei ranking internazionali.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</w:p>
    <w:p w:rsidR="00EF14D7" w:rsidRDefault="00EF14D7" w:rsidP="00601993">
      <w:pPr>
        <w:adjustRightInd w:val="0"/>
        <w:jc w:val="both"/>
        <w:rPr>
          <w:rFonts w:asciiTheme="minorHAnsi" w:hAnsiTheme="minorHAnsi" w:cs="Arial"/>
          <w:b/>
          <w:bCs/>
          <w:color w:val="000000"/>
        </w:rPr>
      </w:pPr>
      <w:r w:rsidRPr="00601993">
        <w:rPr>
          <w:rFonts w:asciiTheme="minorHAnsi" w:hAnsiTheme="minorHAnsi" w:cs="Arial"/>
          <w:b/>
          <w:bCs/>
          <w:color w:val="000000"/>
        </w:rPr>
        <w:t>3.1 Il caso Università di Parma e Atenei più cari</w:t>
      </w:r>
    </w:p>
    <w:p w:rsidR="00891B61" w:rsidRPr="00601993" w:rsidRDefault="00891B61" w:rsidP="00601993">
      <w:pPr>
        <w:adjustRightInd w:val="0"/>
        <w:jc w:val="both"/>
        <w:rPr>
          <w:rFonts w:asciiTheme="minorHAnsi" w:hAnsiTheme="minorHAnsi" w:cs="Arial"/>
          <w:b/>
          <w:bCs/>
          <w:color w:val="000000"/>
        </w:rPr>
      </w:pP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Ancora una volta l’Ateneo più caro, sempre prendendo in considerazione la prima fascia,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risulta l’Università degli studi di Parma con una retta di 890,05 Euro annui per le facoltà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umanistiche e di 1005,87 Euro per quelle scientifiche. Questi ultimi sono per l’ateneo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parmense degli importi base che si applicano da 0 a 28000€ di ISEE, alle quali vengono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applicate delle maggiorazioni che variano da 206,59€ (per ISEE di Euro 28000,01) a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356,58 Euro. Ne consegue che tra chi dichiara ad esempio 15.000 Euro di ISEE e chi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invece appartiene all’ultima fascia (quindi non dichiara il proprio reddito all’università) , la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differenza è di soli 356,58 Euro. Se è vero che gli studenti con ISEE entro i 6000 Euro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saranno per la maggior parte aiutati dall’ ente regionale per il diritto allo studio, molti di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quelli che hanno appena sopra tale soglia si vedranno recapitare a casa una tassa molto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alta.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lastRenderedPageBreak/>
        <w:t>Al secondo posto si trova l’Università Statale di Milano, con una spesa media di 726,50 Euro, seguita dall’Università di Verona. La distinzione tra facoltà scientifiche e facoltà umanistiche non è attiva in tutte le Università, comunque generalmente le facoltà scientifiche hanno un costo maggiore che varia dal circa il 2% per la prima fascia all’8,5% nella maggior parte delle fasce.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</w:p>
    <w:p w:rsidR="00891B61" w:rsidRDefault="00EF14D7" w:rsidP="00601993">
      <w:pPr>
        <w:adjustRightInd w:val="0"/>
        <w:jc w:val="both"/>
        <w:rPr>
          <w:rFonts w:asciiTheme="minorHAnsi" w:hAnsiTheme="minorHAnsi" w:cs="Arial"/>
          <w:b/>
          <w:bCs/>
          <w:color w:val="000000"/>
        </w:rPr>
      </w:pPr>
      <w:r w:rsidRPr="00601993">
        <w:rPr>
          <w:rFonts w:asciiTheme="minorHAnsi" w:hAnsiTheme="minorHAnsi" w:cs="Arial"/>
          <w:b/>
          <w:bCs/>
          <w:color w:val="000000"/>
        </w:rPr>
        <w:t>4. Il confronto con il 2010</w:t>
      </w:r>
    </w:p>
    <w:p w:rsidR="00891B61" w:rsidRPr="00601993" w:rsidRDefault="00891B61" w:rsidP="00601993">
      <w:pPr>
        <w:adjustRightInd w:val="0"/>
        <w:jc w:val="both"/>
        <w:rPr>
          <w:rFonts w:asciiTheme="minorHAnsi" w:hAnsiTheme="minorHAnsi" w:cs="Arial"/>
          <w:b/>
          <w:bCs/>
          <w:color w:val="000000"/>
        </w:rPr>
      </w:pPr>
    </w:p>
    <w:p w:rsidR="00EF14D7" w:rsidRDefault="00EF14D7" w:rsidP="006B4947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Complessivamente, rispetto al 2010, si registra un</w:t>
      </w:r>
      <w:r w:rsidR="000D7450">
        <w:rPr>
          <w:rFonts w:asciiTheme="minorHAnsi" w:hAnsiTheme="minorHAnsi" w:cs="Arial"/>
          <w:color w:val="000000"/>
        </w:rPr>
        <w:t xml:space="preserve"> incremento dei costi a carico degli studenti appartenenti alla prima fascia</w:t>
      </w:r>
      <w:r w:rsidR="00482F77">
        <w:rPr>
          <w:rFonts w:asciiTheme="minorHAnsi" w:hAnsiTheme="minorHAnsi" w:cs="Arial"/>
          <w:color w:val="000000"/>
        </w:rPr>
        <w:t xml:space="preserve">, che si trovano a dover pagare l’1,32% in più. Una lieve contrazione, invece, si rileva per coloro i quali rientrano nella seconda e nella terza fascia, che risparmiano rispettivamente, </w:t>
      </w:r>
      <w:r w:rsidR="006B4947">
        <w:rPr>
          <w:rFonts w:asciiTheme="minorHAnsi" w:hAnsiTheme="minorHAnsi" w:cs="Arial"/>
          <w:color w:val="000000"/>
        </w:rPr>
        <w:t xml:space="preserve">l’1,80% e l’1,06%. </w:t>
      </w:r>
    </w:p>
    <w:p w:rsidR="00EF14D7" w:rsidRPr="00601993" w:rsidRDefault="00FF6E78" w:rsidP="008B4CBC">
      <w:pPr>
        <w:adjustRightInd w:val="0"/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 xml:space="preserve">Gli importi restanti risultano infine più alti del 2,24% per la quarta fascia e dell’8,19% </w:t>
      </w:r>
      <w:r w:rsidR="008B4CBC">
        <w:rPr>
          <w:rFonts w:asciiTheme="minorHAnsi" w:hAnsiTheme="minorHAnsi" w:cs="Arial"/>
          <w:color w:val="000000"/>
        </w:rPr>
        <w:t xml:space="preserve">per il livello massimo dei contributi. </w:t>
      </w:r>
      <w:r>
        <w:rPr>
          <w:rFonts w:asciiTheme="minorHAnsi" w:hAnsiTheme="minorHAnsi" w:cs="Arial"/>
          <w:color w:val="000000"/>
        </w:rPr>
        <w:t xml:space="preserve"> 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b/>
          <w:bCs/>
          <w:color w:val="000000"/>
        </w:rPr>
      </w:pPr>
      <w:r w:rsidRPr="00601993">
        <w:rPr>
          <w:rFonts w:asciiTheme="minorHAnsi" w:hAnsiTheme="minorHAnsi" w:cs="Arial"/>
          <w:b/>
          <w:bCs/>
          <w:color w:val="000000"/>
        </w:rPr>
        <w:t>5. L’Università ed evasione fiscale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Prendendo come caso campione una famiglia monoreddito composta da un nucleo di 3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componenti si può fare un raffronto generale sul costo dell’università per le famiglie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(facendo riferimento alla dichiarazione dei redditi).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Secondo i dati elaborati dai CAF, i centri di assistenza fiscale, e presentati nel Settembre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2011, mostrano come il reddito medio del 32% dei contribuenti sia inferiore ai 15.000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Euro. Tra questi, stando agli ultimi dati del Ministero dell’Economia, vi sono molti lavoratori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autonomi, come ristoratori, gioiellieri e albergatori, che rientrano nella seconda fascia ISEE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considerata, e quindi pagano in media una tassa annuale universitaria pari a 515,82 Euro.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Vale a dire lo stesso importo pagato da una famiglia (sempre monoreddito) di un operaio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non specializzato.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Questi dati, se affiancati a quelli della crescente evasione fiscale e della diminuzione degli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investimenti sulla pubblica istruzione, fanno emergere un quadro drammatico: infatti si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andrà sempre più verso un aumento degli studenti che appartengono o dichiarano di</w:t>
      </w:r>
    </w:p>
    <w:p w:rsidR="00EF14D7" w:rsidRPr="00601993" w:rsidRDefault="00EF14D7" w:rsidP="00601993">
      <w:pPr>
        <w:adjustRightInd w:val="0"/>
        <w:jc w:val="both"/>
        <w:rPr>
          <w:rFonts w:asciiTheme="minorHAnsi" w:hAnsiTheme="minorHAnsi" w:cs="Arial"/>
          <w:color w:val="000000"/>
        </w:rPr>
      </w:pPr>
      <w:r w:rsidRPr="00601993">
        <w:rPr>
          <w:rFonts w:asciiTheme="minorHAnsi" w:hAnsiTheme="minorHAnsi" w:cs="Arial"/>
          <w:color w:val="000000"/>
        </w:rPr>
        <w:t>appartenere alle prime fasce, e quindi una diminuzione delle risorse da distribuire agli</w:t>
      </w:r>
    </w:p>
    <w:p w:rsidR="00EF14D7" w:rsidRPr="00601993" w:rsidRDefault="00EF14D7" w:rsidP="00601993">
      <w:pPr>
        <w:jc w:val="both"/>
        <w:rPr>
          <w:rFonts w:asciiTheme="minorHAnsi" w:hAnsiTheme="minorHAnsi" w:cs="Arial"/>
        </w:rPr>
      </w:pPr>
      <w:r w:rsidRPr="00601993">
        <w:rPr>
          <w:rFonts w:asciiTheme="minorHAnsi" w:hAnsiTheme="minorHAnsi" w:cs="Arial"/>
          <w:color w:val="000000"/>
        </w:rPr>
        <w:t>studenti che realmente ne hanno bisogno.</w:t>
      </w:r>
    </w:p>
    <w:p w:rsidR="00EF14D7" w:rsidRDefault="00EF14D7" w:rsidP="00B53572">
      <w:pPr>
        <w:jc w:val="both"/>
      </w:pPr>
    </w:p>
    <w:sectPr w:rsidR="00EF14D7" w:rsidSect="0040551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134" w:bottom="1134" w:left="1134" w:header="709" w:footer="709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5D0A" w:rsidRDefault="00525D0A">
      <w:r>
        <w:separator/>
      </w:r>
    </w:p>
  </w:endnote>
  <w:endnote w:type="continuationSeparator" w:id="0">
    <w:p w:rsidR="00525D0A" w:rsidRDefault="00525D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6389 Garamond Simoncini Roman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Garamond LightCondensed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04D" w:rsidRDefault="0000404D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04D" w:rsidRPr="00F737F1" w:rsidRDefault="00405516" w:rsidP="0000404D">
    <w:pPr>
      <w:pStyle w:val="Pidipagina"/>
      <w:jc w:val="right"/>
      <w:rPr>
        <w:rFonts w:ascii="Calibri" w:hAnsi="Calibri"/>
        <w:sz w:val="20"/>
        <w:szCs w:val="20"/>
      </w:rPr>
    </w:pPr>
    <w:r w:rsidRPr="00F737F1">
      <w:rPr>
        <w:rFonts w:ascii="Calibri" w:hAnsi="Calibri"/>
        <w:sz w:val="20"/>
        <w:szCs w:val="20"/>
      </w:rPr>
      <w:fldChar w:fldCharType="begin"/>
    </w:r>
    <w:r w:rsidR="0000404D" w:rsidRPr="00F737F1">
      <w:rPr>
        <w:rFonts w:ascii="Calibri" w:hAnsi="Calibri"/>
        <w:sz w:val="20"/>
        <w:szCs w:val="20"/>
      </w:rPr>
      <w:instrText xml:space="preserve"> PAGE   \* MERGEFORMAT </w:instrText>
    </w:r>
    <w:r w:rsidRPr="00F737F1">
      <w:rPr>
        <w:rFonts w:ascii="Calibri" w:hAnsi="Calibri"/>
        <w:sz w:val="20"/>
        <w:szCs w:val="20"/>
      </w:rPr>
      <w:fldChar w:fldCharType="separate"/>
    </w:r>
    <w:r w:rsidR="00A011FC">
      <w:rPr>
        <w:rFonts w:ascii="Calibri" w:hAnsi="Calibri"/>
        <w:noProof/>
        <w:sz w:val="20"/>
        <w:szCs w:val="20"/>
      </w:rPr>
      <w:t>2</w:t>
    </w:r>
    <w:r w:rsidRPr="00F737F1">
      <w:rPr>
        <w:rFonts w:ascii="Calibri" w:hAnsi="Calibri"/>
        <w:sz w:val="20"/>
        <w:szCs w:val="20"/>
      </w:rPr>
      <w:fldChar w:fldCharType="end"/>
    </w:r>
  </w:p>
  <w:p w:rsidR="0000404D" w:rsidRDefault="0000404D" w:rsidP="0000404D">
    <w:pPr>
      <w:pStyle w:val="Pidipagina"/>
      <w:pBdr>
        <w:top w:val="single" w:sz="4" w:space="1" w:color="auto"/>
      </w:pBdr>
      <w:jc w:val="center"/>
      <w:rPr>
        <w:sz w:val="20"/>
      </w:rPr>
    </w:pPr>
    <w:r>
      <w:rPr>
        <w:sz w:val="20"/>
      </w:rPr>
      <w:t xml:space="preserve">FEDERCONSUMATORI:Via Palestro,11 - 00185 Roma - Tel:.06/42020759 - </w:t>
    </w:r>
  </w:p>
  <w:p w:rsidR="0000404D" w:rsidRDefault="0000404D" w:rsidP="0000404D">
    <w:pPr>
      <w:pStyle w:val="Pidipagina"/>
      <w:pBdr>
        <w:top w:val="single" w:sz="4" w:space="1" w:color="auto"/>
      </w:pBdr>
      <w:jc w:val="center"/>
      <w:rPr>
        <w:sz w:val="20"/>
      </w:rPr>
    </w:pPr>
    <w:r>
      <w:rPr>
        <w:sz w:val="20"/>
      </w:rPr>
      <w:t xml:space="preserve">e-mail: </w:t>
    </w:r>
    <w:hyperlink r:id="rId1" w:history="1">
      <w:r>
        <w:rPr>
          <w:rStyle w:val="Collegamentoipertestuale"/>
          <w:sz w:val="20"/>
        </w:rPr>
        <w:t>federconsumatori@federconsumatori.it</w:t>
      </w:r>
    </w:hyperlink>
  </w:p>
  <w:p w:rsidR="0000404D" w:rsidRDefault="0000404D" w:rsidP="0000404D">
    <w:pPr>
      <w:pStyle w:val="Pidipagina"/>
    </w:pPr>
  </w:p>
  <w:p w:rsidR="00FF587F" w:rsidRPr="0000404D" w:rsidRDefault="00FF587F" w:rsidP="0000404D">
    <w:pPr>
      <w:pStyle w:val="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04D" w:rsidRDefault="0000404D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5D0A" w:rsidRDefault="00525D0A">
      <w:r>
        <w:separator/>
      </w:r>
    </w:p>
  </w:footnote>
  <w:footnote w:type="continuationSeparator" w:id="0">
    <w:p w:rsidR="00525D0A" w:rsidRDefault="00525D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04D" w:rsidRDefault="0000404D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04D" w:rsidRDefault="0000404D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04D" w:rsidRDefault="0000404D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66401"/>
    <w:multiLevelType w:val="hybridMultilevel"/>
    <w:tmpl w:val="40C2DFE0"/>
    <w:lvl w:ilvl="0" w:tplc="96C68F06">
      <w:start w:val="1"/>
      <w:numFmt w:val="decimal"/>
      <w:lvlText w:val="%1)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4AF2BE6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186D4DB1"/>
    <w:multiLevelType w:val="hybridMultilevel"/>
    <w:tmpl w:val="7D1C1DA4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F1B0546"/>
    <w:multiLevelType w:val="hybridMultilevel"/>
    <w:tmpl w:val="D4E880D8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B657DE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2DF431CD"/>
    <w:multiLevelType w:val="hybridMultilevel"/>
    <w:tmpl w:val="670A7F9E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3AB5870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36034F96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8">
    <w:nsid w:val="3A127BC9"/>
    <w:multiLevelType w:val="hybridMultilevel"/>
    <w:tmpl w:val="63260E36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3AA34902"/>
    <w:multiLevelType w:val="hybridMultilevel"/>
    <w:tmpl w:val="4814A96E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41465F8C"/>
    <w:multiLevelType w:val="hybridMultilevel"/>
    <w:tmpl w:val="02F27F84"/>
    <w:lvl w:ilvl="0" w:tplc="2A64C66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44EA77AC"/>
    <w:multiLevelType w:val="hybridMultilevel"/>
    <w:tmpl w:val="B9E2CB7E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48D97396"/>
    <w:multiLevelType w:val="hybridMultilevel"/>
    <w:tmpl w:val="46E6377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D7B1EF4"/>
    <w:multiLevelType w:val="hybridMultilevel"/>
    <w:tmpl w:val="433CE58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1D64DAF"/>
    <w:multiLevelType w:val="hybridMultilevel"/>
    <w:tmpl w:val="B1C43D04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9636892"/>
    <w:multiLevelType w:val="hybridMultilevel"/>
    <w:tmpl w:val="F5AC49E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084748B"/>
    <w:multiLevelType w:val="hybridMultilevel"/>
    <w:tmpl w:val="6ECAA8E0"/>
    <w:lvl w:ilvl="0" w:tplc="22104C60">
      <w:start w:val="89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" w:eastAsia="Times New Roman" w:hAnsi="Time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6A0B7BC1"/>
    <w:multiLevelType w:val="multilevel"/>
    <w:tmpl w:val="2C0C16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84" w:hanging="1440"/>
      </w:pPr>
      <w:rPr>
        <w:rFonts w:hint="default"/>
      </w:rPr>
    </w:lvl>
  </w:abstractNum>
  <w:abstractNum w:abstractNumId="18">
    <w:nsid w:val="71C323BF"/>
    <w:multiLevelType w:val="hybridMultilevel"/>
    <w:tmpl w:val="F84E65BA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D057173"/>
    <w:multiLevelType w:val="hybridMultilevel"/>
    <w:tmpl w:val="3020AB2E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13"/>
  </w:num>
  <w:num w:numId="3">
    <w:abstractNumId w:val="8"/>
  </w:num>
  <w:num w:numId="4">
    <w:abstractNumId w:val="9"/>
  </w:num>
  <w:num w:numId="5">
    <w:abstractNumId w:val="11"/>
  </w:num>
  <w:num w:numId="6">
    <w:abstractNumId w:val="4"/>
    <w:lvlOverride w:ilvl="0">
      <w:startOverride w:val="1"/>
    </w:lvlOverride>
  </w:num>
  <w:num w:numId="7">
    <w:abstractNumId w:val="7"/>
  </w:num>
  <w:num w:numId="8">
    <w:abstractNumId w:val="6"/>
  </w:num>
  <w:num w:numId="9">
    <w:abstractNumId w:val="1"/>
  </w:num>
  <w:num w:numId="10">
    <w:abstractNumId w:val="0"/>
  </w:num>
  <w:num w:numId="11">
    <w:abstractNumId w:val="16"/>
  </w:num>
  <w:num w:numId="12">
    <w:abstractNumId w:val="10"/>
  </w:num>
  <w:num w:numId="13">
    <w:abstractNumId w:val="3"/>
  </w:num>
  <w:num w:numId="14">
    <w:abstractNumId w:val="19"/>
  </w:num>
  <w:num w:numId="15">
    <w:abstractNumId w:val="14"/>
  </w:num>
  <w:num w:numId="16">
    <w:abstractNumId w:val="18"/>
  </w:num>
  <w:num w:numId="17">
    <w:abstractNumId w:val="2"/>
  </w:num>
  <w:num w:numId="18">
    <w:abstractNumId w:val="5"/>
  </w:num>
  <w:num w:numId="19">
    <w:abstractNumId w:val="12"/>
  </w:num>
  <w:num w:numId="20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embedSystemFonts/>
  <w:proofState w:spelling="clean"/>
  <w:stylePaneFormatFilter w:val="3F01"/>
  <w:defaultTabStop w:val="709"/>
  <w:hyphenationZone w:val="283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6F78E9"/>
    <w:rsid w:val="0000404D"/>
    <w:rsid w:val="00022BB7"/>
    <w:rsid w:val="000B5C3D"/>
    <w:rsid w:val="000D7450"/>
    <w:rsid w:val="00111D02"/>
    <w:rsid w:val="0012488B"/>
    <w:rsid w:val="001434D7"/>
    <w:rsid w:val="001F3233"/>
    <w:rsid w:val="001F6911"/>
    <w:rsid w:val="00220839"/>
    <w:rsid w:val="0024244C"/>
    <w:rsid w:val="002559B5"/>
    <w:rsid w:val="002A1464"/>
    <w:rsid w:val="002C6408"/>
    <w:rsid w:val="002C733F"/>
    <w:rsid w:val="002D74DD"/>
    <w:rsid w:val="002E1B4F"/>
    <w:rsid w:val="002E6B22"/>
    <w:rsid w:val="003302A4"/>
    <w:rsid w:val="00343AB5"/>
    <w:rsid w:val="00347A95"/>
    <w:rsid w:val="0038568A"/>
    <w:rsid w:val="0039188E"/>
    <w:rsid w:val="003B1504"/>
    <w:rsid w:val="003C5E33"/>
    <w:rsid w:val="003E7F1C"/>
    <w:rsid w:val="003F0478"/>
    <w:rsid w:val="00400316"/>
    <w:rsid w:val="00405516"/>
    <w:rsid w:val="004060A1"/>
    <w:rsid w:val="004719AA"/>
    <w:rsid w:val="00474689"/>
    <w:rsid w:val="00482F77"/>
    <w:rsid w:val="004A1E90"/>
    <w:rsid w:val="004E38CC"/>
    <w:rsid w:val="004F63D8"/>
    <w:rsid w:val="005069FD"/>
    <w:rsid w:val="00525D0A"/>
    <w:rsid w:val="00554EDE"/>
    <w:rsid w:val="005B441E"/>
    <w:rsid w:val="005D3240"/>
    <w:rsid w:val="005D5805"/>
    <w:rsid w:val="005E38BC"/>
    <w:rsid w:val="005F5160"/>
    <w:rsid w:val="00600C2E"/>
    <w:rsid w:val="00601993"/>
    <w:rsid w:val="0060413D"/>
    <w:rsid w:val="00625846"/>
    <w:rsid w:val="006428BD"/>
    <w:rsid w:val="006B4947"/>
    <w:rsid w:val="006E6F0F"/>
    <w:rsid w:val="006F1518"/>
    <w:rsid w:val="006F78E9"/>
    <w:rsid w:val="00702E03"/>
    <w:rsid w:val="0072608D"/>
    <w:rsid w:val="007348F6"/>
    <w:rsid w:val="00751DC0"/>
    <w:rsid w:val="00785CDC"/>
    <w:rsid w:val="007954D8"/>
    <w:rsid w:val="007A3D15"/>
    <w:rsid w:val="007F17CD"/>
    <w:rsid w:val="007F4851"/>
    <w:rsid w:val="00811491"/>
    <w:rsid w:val="00824B3A"/>
    <w:rsid w:val="00850D58"/>
    <w:rsid w:val="00851B07"/>
    <w:rsid w:val="008659C8"/>
    <w:rsid w:val="00872BCC"/>
    <w:rsid w:val="0087675B"/>
    <w:rsid w:val="00882DA0"/>
    <w:rsid w:val="00891B61"/>
    <w:rsid w:val="00892B16"/>
    <w:rsid w:val="008B4CBC"/>
    <w:rsid w:val="008C013D"/>
    <w:rsid w:val="008D0F42"/>
    <w:rsid w:val="008E3A41"/>
    <w:rsid w:val="00903E0B"/>
    <w:rsid w:val="009813C4"/>
    <w:rsid w:val="009B4D4F"/>
    <w:rsid w:val="009C5E34"/>
    <w:rsid w:val="009D2825"/>
    <w:rsid w:val="009E2975"/>
    <w:rsid w:val="00A011FC"/>
    <w:rsid w:val="00A169CE"/>
    <w:rsid w:val="00A207D1"/>
    <w:rsid w:val="00A368C3"/>
    <w:rsid w:val="00A5144A"/>
    <w:rsid w:val="00A85499"/>
    <w:rsid w:val="00B055FC"/>
    <w:rsid w:val="00B426D6"/>
    <w:rsid w:val="00B53572"/>
    <w:rsid w:val="00B67613"/>
    <w:rsid w:val="00BA6670"/>
    <w:rsid w:val="00BC2458"/>
    <w:rsid w:val="00BC37D5"/>
    <w:rsid w:val="00BF04F6"/>
    <w:rsid w:val="00BF5348"/>
    <w:rsid w:val="00C07717"/>
    <w:rsid w:val="00C36C1B"/>
    <w:rsid w:val="00C42DB2"/>
    <w:rsid w:val="00C707F9"/>
    <w:rsid w:val="00C76D45"/>
    <w:rsid w:val="00C80451"/>
    <w:rsid w:val="00C808A9"/>
    <w:rsid w:val="00C86D74"/>
    <w:rsid w:val="00C9066C"/>
    <w:rsid w:val="00CA5483"/>
    <w:rsid w:val="00CC37F2"/>
    <w:rsid w:val="00CD0883"/>
    <w:rsid w:val="00CE10CB"/>
    <w:rsid w:val="00CE1DAE"/>
    <w:rsid w:val="00CE5B9C"/>
    <w:rsid w:val="00D70D4F"/>
    <w:rsid w:val="00DA5D9A"/>
    <w:rsid w:val="00DB02B1"/>
    <w:rsid w:val="00DD65BB"/>
    <w:rsid w:val="00DE2EE3"/>
    <w:rsid w:val="00E679AF"/>
    <w:rsid w:val="00E7109D"/>
    <w:rsid w:val="00EA069E"/>
    <w:rsid w:val="00EC04EA"/>
    <w:rsid w:val="00EF14D7"/>
    <w:rsid w:val="00F63B7F"/>
    <w:rsid w:val="00F702A1"/>
    <w:rsid w:val="00FA2201"/>
    <w:rsid w:val="00FE071A"/>
    <w:rsid w:val="00FF587F"/>
    <w:rsid w:val="00FF6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405516"/>
    <w:pPr>
      <w:autoSpaceDE w:val="0"/>
      <w:autoSpaceDN w:val="0"/>
    </w:pPr>
    <w:rPr>
      <w:rFonts w:ascii="Times" w:hAnsi="Times" w:cs="Times"/>
      <w:sz w:val="24"/>
      <w:szCs w:val="24"/>
    </w:rPr>
  </w:style>
  <w:style w:type="paragraph" w:styleId="Titolo1">
    <w:name w:val="heading 1"/>
    <w:basedOn w:val="Normale"/>
    <w:next w:val="Normale"/>
    <w:qFormat/>
    <w:rsid w:val="00405516"/>
    <w:pPr>
      <w:keepNext/>
      <w:jc w:val="center"/>
      <w:outlineLvl w:val="0"/>
    </w:pPr>
    <w:rPr>
      <w:rFonts w:ascii="6389 Garamond Simoncini Roman" w:hAnsi="6389 Garamond Simoncini Roman" w:cs="6389 Garamond Simoncini Roman"/>
      <w:sz w:val="40"/>
      <w:szCs w:val="40"/>
    </w:rPr>
  </w:style>
  <w:style w:type="paragraph" w:styleId="Titolo2">
    <w:name w:val="heading 2"/>
    <w:basedOn w:val="Normale"/>
    <w:next w:val="Normale"/>
    <w:qFormat/>
    <w:rsid w:val="00405516"/>
    <w:pPr>
      <w:keepNext/>
      <w:spacing w:before="240" w:after="60"/>
      <w:outlineLvl w:val="1"/>
    </w:pPr>
    <w:rPr>
      <w:rFonts w:ascii="Helvetica" w:hAnsi="Helvetica" w:cs="Helvetica"/>
      <w:b/>
      <w:bCs/>
      <w:i/>
      <w:iCs/>
    </w:rPr>
  </w:style>
  <w:style w:type="paragraph" w:styleId="Titolo3">
    <w:name w:val="heading 3"/>
    <w:basedOn w:val="Normale"/>
    <w:next w:val="Normale"/>
    <w:qFormat/>
    <w:rsid w:val="00405516"/>
    <w:pPr>
      <w:keepNext/>
      <w:ind w:left="708" w:right="849" w:firstLine="348"/>
      <w:jc w:val="both"/>
      <w:outlineLvl w:val="2"/>
    </w:pPr>
    <w:rPr>
      <w:sz w:val="28"/>
      <w:szCs w:val="28"/>
    </w:rPr>
  </w:style>
  <w:style w:type="paragraph" w:styleId="Titolo4">
    <w:name w:val="heading 4"/>
    <w:basedOn w:val="Normale"/>
    <w:next w:val="Normale"/>
    <w:qFormat/>
    <w:rsid w:val="00405516"/>
    <w:pPr>
      <w:keepNext/>
      <w:ind w:right="849"/>
      <w:outlineLvl w:val="3"/>
    </w:pPr>
    <w:rPr>
      <w:sz w:val="28"/>
      <w:szCs w:val="28"/>
    </w:rPr>
  </w:style>
  <w:style w:type="paragraph" w:styleId="Titolo5">
    <w:name w:val="heading 5"/>
    <w:basedOn w:val="Normale"/>
    <w:next w:val="Normale"/>
    <w:qFormat/>
    <w:rsid w:val="00405516"/>
    <w:pPr>
      <w:keepNext/>
      <w:tabs>
        <w:tab w:val="left" w:pos="6237"/>
      </w:tabs>
      <w:ind w:right="849"/>
      <w:jc w:val="both"/>
      <w:outlineLvl w:val="4"/>
    </w:pPr>
    <w:rPr>
      <w:sz w:val="28"/>
      <w:szCs w:val="28"/>
    </w:rPr>
  </w:style>
  <w:style w:type="paragraph" w:styleId="Titolo6">
    <w:name w:val="heading 6"/>
    <w:basedOn w:val="Normale"/>
    <w:next w:val="Normale"/>
    <w:qFormat/>
    <w:rsid w:val="00405516"/>
    <w:pPr>
      <w:keepNext/>
      <w:ind w:right="849"/>
      <w:jc w:val="both"/>
      <w:outlineLvl w:val="5"/>
    </w:pPr>
    <w:rPr>
      <w:i/>
      <w:iCs/>
      <w:sz w:val="28"/>
      <w:szCs w:val="28"/>
    </w:rPr>
  </w:style>
  <w:style w:type="paragraph" w:styleId="Titolo7">
    <w:name w:val="heading 7"/>
    <w:basedOn w:val="Normale"/>
    <w:next w:val="Normale"/>
    <w:qFormat/>
    <w:rsid w:val="00405516"/>
    <w:pPr>
      <w:keepNext/>
      <w:ind w:right="849"/>
      <w:jc w:val="center"/>
      <w:outlineLvl w:val="6"/>
    </w:pPr>
    <w:rPr>
      <w:b/>
      <w:bCs/>
      <w:i/>
      <w:iCs/>
      <w:sz w:val="28"/>
      <w:szCs w:val="28"/>
      <w:u w:val="single"/>
    </w:rPr>
  </w:style>
  <w:style w:type="paragraph" w:styleId="Titolo8">
    <w:name w:val="heading 8"/>
    <w:basedOn w:val="Normale"/>
    <w:next w:val="Normale"/>
    <w:qFormat/>
    <w:rsid w:val="00405516"/>
    <w:pPr>
      <w:keepNext/>
      <w:outlineLvl w:val="7"/>
    </w:pPr>
    <w:rPr>
      <w:sz w:val="28"/>
      <w:szCs w:val="28"/>
    </w:rPr>
  </w:style>
  <w:style w:type="paragraph" w:styleId="Titolo9">
    <w:name w:val="heading 9"/>
    <w:basedOn w:val="Normale"/>
    <w:next w:val="Normale"/>
    <w:qFormat/>
    <w:rsid w:val="00405516"/>
    <w:pPr>
      <w:keepNext/>
      <w:ind w:right="-1"/>
      <w:jc w:val="both"/>
      <w:outlineLvl w:val="8"/>
    </w:pPr>
    <w:rPr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">
    <w:name w:val="Body Text"/>
    <w:basedOn w:val="Normale"/>
    <w:rsid w:val="00405516"/>
    <w:pPr>
      <w:jc w:val="center"/>
    </w:pPr>
    <w:rPr>
      <w:rFonts w:ascii="6389 Garamond Simoncini Roman" w:hAnsi="6389 Garamond Simoncini Roman" w:cs="6389 Garamond Simoncini Roman"/>
    </w:rPr>
  </w:style>
  <w:style w:type="paragraph" w:customStyle="1" w:styleId="22">
    <w:name w:val="22"/>
    <w:basedOn w:val="Titolo1"/>
    <w:rsid w:val="00405516"/>
    <w:rPr>
      <w:rFonts w:ascii="Garamond LightCondensed" w:hAnsi="Garamond LightCondensed" w:cs="Garamond LightCondensed"/>
      <w:spacing w:val="-10"/>
    </w:rPr>
  </w:style>
  <w:style w:type="paragraph" w:styleId="Corpodeltesto2">
    <w:name w:val="Body Text 2"/>
    <w:basedOn w:val="Normale"/>
    <w:rsid w:val="00405516"/>
    <w:pPr>
      <w:jc w:val="both"/>
    </w:pPr>
    <w:rPr>
      <w:b/>
      <w:bCs/>
      <w:i/>
      <w:iCs/>
      <w:sz w:val="32"/>
      <w:szCs w:val="32"/>
    </w:rPr>
  </w:style>
  <w:style w:type="paragraph" w:styleId="Intestazione">
    <w:name w:val="header"/>
    <w:basedOn w:val="Normale"/>
    <w:rsid w:val="0040551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rsid w:val="00405516"/>
    <w:pPr>
      <w:tabs>
        <w:tab w:val="center" w:pos="4819"/>
        <w:tab w:val="right" w:pos="9638"/>
      </w:tabs>
    </w:pPr>
  </w:style>
  <w:style w:type="paragraph" w:styleId="Rientrocorpodeltesto2">
    <w:name w:val="Body Text Indent 2"/>
    <w:basedOn w:val="Normale"/>
    <w:rsid w:val="00405516"/>
    <w:pPr>
      <w:ind w:left="4963" w:firstLine="709"/>
      <w:jc w:val="both"/>
    </w:pPr>
    <w:rPr>
      <w:b/>
      <w:bCs/>
    </w:rPr>
  </w:style>
  <w:style w:type="character" w:styleId="Collegamentoipertestuale">
    <w:name w:val="Hyperlink"/>
    <w:basedOn w:val="Carpredefinitoparagrafo"/>
    <w:rsid w:val="00405516"/>
    <w:rPr>
      <w:color w:val="0000FF"/>
      <w:u w:val="single"/>
    </w:rPr>
  </w:style>
  <w:style w:type="paragraph" w:styleId="Testofumetto">
    <w:name w:val="Balloon Text"/>
    <w:basedOn w:val="Normale"/>
    <w:semiHidden/>
    <w:rsid w:val="00CA5483"/>
    <w:rPr>
      <w:rFonts w:ascii="Tahoma" w:hAnsi="Tahoma" w:cs="Tahoma"/>
      <w:sz w:val="16"/>
      <w:szCs w:val="16"/>
    </w:rPr>
  </w:style>
  <w:style w:type="character" w:styleId="Enfasigrassetto">
    <w:name w:val="Strong"/>
    <w:basedOn w:val="Carpredefinitoparagrafo"/>
    <w:qFormat/>
    <w:rsid w:val="00C808A9"/>
    <w:rPr>
      <w:b/>
      <w:bCs/>
    </w:rPr>
  </w:style>
  <w:style w:type="paragraph" w:styleId="Sottotitolo">
    <w:name w:val="Subtitle"/>
    <w:basedOn w:val="Normale"/>
    <w:next w:val="Normale"/>
    <w:link w:val="SottotitoloCarattere"/>
    <w:qFormat/>
    <w:rsid w:val="00C808A9"/>
    <w:pPr>
      <w:spacing w:after="60"/>
      <w:jc w:val="center"/>
      <w:outlineLvl w:val="1"/>
    </w:pPr>
    <w:rPr>
      <w:rFonts w:ascii="Cambria" w:hAnsi="Cambria" w:cs="Times New Roman"/>
    </w:rPr>
  </w:style>
  <w:style w:type="character" w:customStyle="1" w:styleId="SottotitoloCarattere">
    <w:name w:val="Sottotitolo Carattere"/>
    <w:basedOn w:val="Carpredefinitoparagrafo"/>
    <w:link w:val="Sottotitolo"/>
    <w:rsid w:val="00C808A9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B53572"/>
    <w:pPr>
      <w:autoSpaceDE/>
      <w:autoSpaceDN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table" w:styleId="Grigliatabella">
    <w:name w:val="Table Grid"/>
    <w:basedOn w:val="Tabellanormale"/>
    <w:uiPriority w:val="59"/>
    <w:rsid w:val="00B53572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idipaginaCarattere">
    <w:name w:val="Piè di pagina Carattere"/>
    <w:basedOn w:val="Carpredefinitoparagrafo"/>
    <w:link w:val="Pidipagina"/>
    <w:rsid w:val="0000404D"/>
    <w:rPr>
      <w:rFonts w:ascii="Times" w:hAnsi="Times" w:cs="Times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federconsumatori@federconsumator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CA5D52-3C27-402A-88C8-527CE5D69F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1181</Words>
  <Characters>6735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</vt:lpstr>
    </vt:vector>
  </TitlesOfParts>
  <Company>Tipografia della Pace</Company>
  <LinksUpToDate>false</LinksUpToDate>
  <CharactersWithSpaces>7901</CharactersWithSpaces>
  <SharedDoc>false</SharedDoc>
  <HLinks>
    <vt:vector size="6" baseType="variant">
      <vt:variant>
        <vt:i4>5439612</vt:i4>
      </vt:variant>
      <vt:variant>
        <vt:i4>3</vt:i4>
      </vt:variant>
      <vt:variant>
        <vt:i4>0</vt:i4>
      </vt:variant>
      <vt:variant>
        <vt:i4>5</vt:i4>
      </vt:variant>
      <vt:variant>
        <vt:lpwstr>mailto:federconsumatori@federconsumatori.it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</dc:title>
  <dc:subject/>
  <dc:creator>Riccardo Principe</dc:creator>
  <cp:keywords/>
  <dc:description/>
  <cp:lastModifiedBy>Utente</cp:lastModifiedBy>
  <cp:revision>10</cp:revision>
  <cp:lastPrinted>2009-07-16T07:58:00Z</cp:lastPrinted>
  <dcterms:created xsi:type="dcterms:W3CDTF">2012-10-12T08:10:00Z</dcterms:created>
  <dcterms:modified xsi:type="dcterms:W3CDTF">2012-10-12T09:10:00Z</dcterms:modified>
</cp:coreProperties>
</file>