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60E" w:rsidRDefault="0025673D" w:rsidP="00184D89">
      <w:pPr>
        <w:jc w:val="center"/>
      </w:pPr>
      <w:r w:rsidRPr="0025673D">
        <w:drawing>
          <wp:inline distT="0" distB="0" distL="0" distR="0">
            <wp:extent cx="8454390" cy="4785360"/>
            <wp:effectExtent l="19050" t="0" r="22860" b="0"/>
            <wp:docPr id="2" name="Gra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35355B" w:rsidRDefault="0035355B">
      <w:pPr>
        <w:rPr>
          <w:sz w:val="18"/>
          <w:szCs w:val="18"/>
        </w:rPr>
      </w:pPr>
    </w:p>
    <w:p w:rsidR="00F9371D" w:rsidRPr="00F3315F" w:rsidRDefault="00F3315F">
      <w:pPr>
        <w:rPr>
          <w:sz w:val="18"/>
          <w:szCs w:val="18"/>
        </w:rPr>
      </w:pPr>
      <w:proofErr w:type="spellStart"/>
      <w:r w:rsidRPr="00F3315F">
        <w:rPr>
          <w:sz w:val="18"/>
          <w:szCs w:val="18"/>
        </w:rPr>
        <w:t>*Spesa</w:t>
      </w:r>
      <w:proofErr w:type="spellEnd"/>
      <w:r w:rsidRPr="00F3315F">
        <w:rPr>
          <w:sz w:val="18"/>
          <w:szCs w:val="18"/>
        </w:rPr>
        <w:t xml:space="preserve"> annua </w:t>
      </w:r>
      <w:r w:rsidR="00E57962" w:rsidRPr="00E57962">
        <w:rPr>
          <w:sz w:val="18"/>
          <w:szCs w:val="18"/>
        </w:rPr>
        <w:t>2013: Proiezione con tariffe dell'AEEG al 1/4/2013 costanti e invariate fino al 31/12/2013 con maggiorazione del 2% della spesa annua a partire dal 1/7/2013 a valere per il periodo del II semestre 2013 per maggiori oneri dovuti agli incentivi alle aziende '</w:t>
      </w:r>
      <w:proofErr w:type="spellStart"/>
      <w:r w:rsidR="00E57962" w:rsidRPr="00E57962">
        <w:rPr>
          <w:sz w:val="18"/>
          <w:szCs w:val="18"/>
        </w:rPr>
        <w:t>energivore</w:t>
      </w:r>
      <w:proofErr w:type="spellEnd"/>
      <w:r w:rsidR="00E57962" w:rsidRPr="00E57962">
        <w:rPr>
          <w:sz w:val="18"/>
          <w:szCs w:val="18"/>
        </w:rPr>
        <w:t>'.</w:t>
      </w:r>
    </w:p>
    <w:p w:rsidR="00F9371D" w:rsidRPr="00F3315F" w:rsidRDefault="00F9371D" w:rsidP="00184D89">
      <w:pPr>
        <w:spacing w:after="0" w:line="240" w:lineRule="auto"/>
        <w:rPr>
          <w:rFonts w:eastAsia="Times New Roman" w:cs="Arial"/>
          <w:sz w:val="18"/>
          <w:szCs w:val="18"/>
          <w:lang w:eastAsia="it-IT"/>
        </w:rPr>
      </w:pPr>
      <w:r w:rsidRPr="00F3315F">
        <w:rPr>
          <w:rFonts w:eastAsia="Times New Roman" w:cs="Arial"/>
          <w:sz w:val="18"/>
          <w:szCs w:val="18"/>
          <w:lang w:eastAsia="it-IT"/>
        </w:rPr>
        <w:t>Spesa media annua per il mercato di maggior tutela, considerando un consumo costante durante l'anno e tenuto conto delle variazioni trimestrali definite dall'Autorità per l'Energia Elettrica e il Gas</w:t>
      </w:r>
    </w:p>
    <w:p w:rsidR="00184D89" w:rsidRDefault="00184D89" w:rsidP="00F9371D">
      <w:pPr>
        <w:spacing w:after="0" w:line="240" w:lineRule="auto"/>
        <w:rPr>
          <w:rFonts w:eastAsia="Times New Roman" w:cs="Arial"/>
          <w:sz w:val="18"/>
          <w:szCs w:val="18"/>
          <w:lang w:eastAsia="it-IT"/>
        </w:rPr>
      </w:pPr>
    </w:p>
    <w:p w:rsidR="00F9371D" w:rsidRPr="00E57962" w:rsidRDefault="00F9371D" w:rsidP="00E57962">
      <w:pPr>
        <w:spacing w:after="0" w:line="240" w:lineRule="auto"/>
        <w:rPr>
          <w:rFonts w:eastAsia="Times New Roman" w:cs="Arial"/>
          <w:sz w:val="18"/>
          <w:szCs w:val="18"/>
          <w:lang w:eastAsia="it-IT"/>
        </w:rPr>
      </w:pPr>
      <w:r w:rsidRPr="00F3315F">
        <w:rPr>
          <w:rFonts w:eastAsia="Times New Roman" w:cs="Arial"/>
          <w:sz w:val="18"/>
          <w:szCs w:val="18"/>
          <w:lang w:eastAsia="it-IT"/>
        </w:rPr>
        <w:t xml:space="preserve">Fonte: </w:t>
      </w:r>
      <w:proofErr w:type="spellStart"/>
      <w:r w:rsidRPr="00F3315F">
        <w:rPr>
          <w:rFonts w:eastAsia="Times New Roman" w:cs="Arial"/>
          <w:sz w:val="18"/>
          <w:szCs w:val="18"/>
          <w:lang w:eastAsia="it-IT"/>
        </w:rPr>
        <w:t>C.R.E.E.F.</w:t>
      </w:r>
      <w:proofErr w:type="spellEnd"/>
      <w:r w:rsidRPr="00F3315F">
        <w:rPr>
          <w:rFonts w:eastAsia="Times New Roman" w:cs="Arial"/>
          <w:sz w:val="18"/>
          <w:szCs w:val="18"/>
          <w:lang w:eastAsia="it-IT"/>
        </w:rPr>
        <w:t xml:space="preserve"> – Centro Ricerche Economiche Educazione e Formazione</w:t>
      </w:r>
      <w:r w:rsidR="00F3315F" w:rsidRPr="00F3315F">
        <w:rPr>
          <w:sz w:val="18"/>
          <w:szCs w:val="18"/>
        </w:rPr>
        <w:tab/>
      </w:r>
    </w:p>
    <w:sectPr w:rsidR="00F9371D" w:rsidRPr="00E57962" w:rsidSect="0035355B">
      <w:pgSz w:w="16838" w:h="11906" w:orient="landscape"/>
      <w:pgMar w:top="709" w:right="1417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B45624"/>
    <w:rsid w:val="00184D89"/>
    <w:rsid w:val="0025673D"/>
    <w:rsid w:val="00263BD7"/>
    <w:rsid w:val="0035355B"/>
    <w:rsid w:val="0040296B"/>
    <w:rsid w:val="00471848"/>
    <w:rsid w:val="005D360E"/>
    <w:rsid w:val="00853381"/>
    <w:rsid w:val="0095711A"/>
    <w:rsid w:val="009C5C42"/>
    <w:rsid w:val="00B45624"/>
    <w:rsid w:val="00E57962"/>
    <w:rsid w:val="00F3315F"/>
    <w:rsid w:val="00F9371D"/>
    <w:rsid w:val="00FC2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360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5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56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Documents%20and%20Settings\Utente\Desktop\Energia\Tabella_energia_annua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it-IT"/>
  <c:chart>
    <c:title>
      <c:tx>
        <c:rich>
          <a:bodyPr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it-IT" sz="1000"/>
              <a:t>ENERGIA ELETTRICA: SPESA MEDIA ANNUA PER UTENZA DOMESTICA (CONSUMO 2.700 Kwh) 1996-2013</a:t>
            </a:r>
          </a:p>
        </c:rich>
      </c:tx>
      <c:layout>
        <c:manualLayout>
          <c:xMode val="edge"/>
          <c:yMode val="edge"/>
          <c:x val="0.13882808398950131"/>
          <c:y val="6.5299129275507226E-2"/>
        </c:manualLayout>
      </c:layout>
      <c:spPr>
        <a:noFill/>
        <a:ln w="25400">
          <a:noFill/>
        </a:ln>
      </c:spPr>
    </c:title>
    <c:plotArea>
      <c:layout>
        <c:manualLayout>
          <c:layoutTarget val="inner"/>
          <c:xMode val="edge"/>
          <c:yMode val="edge"/>
          <c:x val="8.5494796821337676E-2"/>
          <c:y val="0.13245169018302241"/>
          <c:w val="0.90105752155522156"/>
          <c:h val="0.78864679666719584"/>
        </c:manualLayout>
      </c:layout>
      <c:barChart>
        <c:barDir val="col"/>
        <c:grouping val="clustered"/>
        <c:ser>
          <c:idx val="0"/>
          <c:order val="0"/>
          <c:tx>
            <c:strRef>
              <c:f>EEL!$A$5</c:f>
              <c:strCache>
                <c:ptCount val="1"/>
                <c:pt idx="0">
                  <c:v>2.700 Kwh</c:v>
                </c:pt>
              </c:strCache>
            </c:strRef>
          </c:tx>
          <c:spPr>
            <a:solidFill>
              <a:srgbClr val="3399FF"/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1.1752000992018505E-17"/>
                  <c:y val="-2.2505145172362861E-2"/>
                </c:manualLayout>
              </c:layout>
              <c:showVal val="1"/>
            </c:dLbl>
            <c:dLbl>
              <c:idx val="1"/>
              <c:layout>
                <c:manualLayout>
                  <c:x val="3.0043563166591561E-3"/>
                  <c:y val="-2.3885350318471346E-2"/>
                </c:manualLayout>
              </c:layout>
              <c:showVal val="1"/>
            </c:dLbl>
            <c:numFmt formatCode="#,##0.00" sourceLinked="0"/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9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endParaRPr lang="it-IT"/>
              </a:p>
            </c:txPr>
            <c:showVal val="1"/>
          </c:dLbls>
          <c:cat>
            <c:strRef>
              <c:f>EEL!$B$4:$S$4</c:f>
              <c:strCache>
                <c:ptCount val="18"/>
                <c:pt idx="0">
                  <c:v>1996</c:v>
                </c:pt>
                <c:pt idx="1">
                  <c:v>1997</c:v>
                </c:pt>
                <c:pt idx="2">
                  <c:v>1998</c:v>
                </c:pt>
                <c:pt idx="3">
                  <c:v>1999</c:v>
                </c:pt>
                <c:pt idx="4">
                  <c:v>2000</c:v>
                </c:pt>
                <c:pt idx="5">
                  <c:v>2001</c:v>
                </c:pt>
                <c:pt idx="6">
                  <c:v>2002</c:v>
                </c:pt>
                <c:pt idx="7">
                  <c:v>2003</c:v>
                </c:pt>
                <c:pt idx="8">
                  <c:v>2004</c:v>
                </c:pt>
                <c:pt idx="9">
                  <c:v>2005</c:v>
                </c:pt>
                <c:pt idx="10">
                  <c:v>2006</c:v>
                </c:pt>
                <c:pt idx="11">
                  <c:v>2007</c:v>
                </c:pt>
                <c:pt idx="12">
                  <c:v>2008</c:v>
                </c:pt>
                <c:pt idx="13">
                  <c:v>2009</c:v>
                </c:pt>
                <c:pt idx="14">
                  <c:v>2010</c:v>
                </c:pt>
                <c:pt idx="15">
                  <c:v>2011</c:v>
                </c:pt>
                <c:pt idx="16">
                  <c:v>2012</c:v>
                </c:pt>
                <c:pt idx="17">
                  <c:v>2013*</c:v>
                </c:pt>
              </c:strCache>
            </c:strRef>
          </c:cat>
          <c:val>
            <c:numRef>
              <c:f>EEL!$B$5:$S$5</c:f>
              <c:numCache>
                <c:formatCode>General</c:formatCode>
                <c:ptCount val="18"/>
                <c:pt idx="0">
                  <c:v>285.77999999999992</c:v>
                </c:pt>
                <c:pt idx="1">
                  <c:v>275.19</c:v>
                </c:pt>
                <c:pt idx="2">
                  <c:v>280.02</c:v>
                </c:pt>
                <c:pt idx="3" formatCode="#,##0.00">
                  <c:v>272.33</c:v>
                </c:pt>
                <c:pt idx="4" formatCode="#,##0.00">
                  <c:v>310.33</c:v>
                </c:pt>
                <c:pt idx="5" formatCode="#,##0.00">
                  <c:v>334.2</c:v>
                </c:pt>
                <c:pt idx="6" formatCode="#,##0.00">
                  <c:v>334.54</c:v>
                </c:pt>
                <c:pt idx="7" formatCode="#,##0.00">
                  <c:v>343.71999999999997</c:v>
                </c:pt>
                <c:pt idx="8" formatCode="#,##0.00">
                  <c:v>333.09</c:v>
                </c:pt>
                <c:pt idx="9" formatCode="#,##0.00">
                  <c:v>350.17</c:v>
                </c:pt>
                <c:pt idx="10" formatCode="#,##0.00">
                  <c:v>401</c:v>
                </c:pt>
                <c:pt idx="11" formatCode="#,##0.00">
                  <c:v>422.33</c:v>
                </c:pt>
                <c:pt idx="12" formatCode="#,##0.00">
                  <c:v>470.19</c:v>
                </c:pt>
                <c:pt idx="13" formatCode="#,##0.00">
                  <c:v>453.69</c:v>
                </c:pt>
                <c:pt idx="14" formatCode="#,##0.00">
                  <c:v>427.24</c:v>
                </c:pt>
                <c:pt idx="15" formatCode="#,##0.00">
                  <c:v>436.86</c:v>
                </c:pt>
                <c:pt idx="16" formatCode="#,##0.00">
                  <c:v>503.94</c:v>
                </c:pt>
                <c:pt idx="17">
                  <c:v>517</c:v>
                </c:pt>
              </c:numCache>
            </c:numRef>
          </c:val>
        </c:ser>
        <c:axId val="61991936"/>
        <c:axId val="62002304"/>
      </c:barChart>
      <c:catAx>
        <c:axId val="61991936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5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it-IT"/>
          </a:p>
        </c:txPr>
        <c:crossAx val="62002304"/>
        <c:crossesAt val="0"/>
        <c:auto val="1"/>
        <c:lblAlgn val="ctr"/>
        <c:lblOffset val="100"/>
        <c:tickLblSkip val="1"/>
        <c:tickMarkSkip val="1"/>
      </c:catAx>
      <c:valAx>
        <c:axId val="62002304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6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it-IT"/>
                  <a:t>Euro</a:t>
                </a:r>
              </a:p>
            </c:rich>
          </c:tx>
          <c:layout>
            <c:manualLayout>
              <c:xMode val="edge"/>
              <c:yMode val="edge"/>
              <c:x val="1.5369876842317803E-2"/>
              <c:y val="0.50428852643419575"/>
            </c:manualLayout>
          </c:layout>
          <c:spPr>
            <a:noFill/>
            <a:ln w="25400">
              <a:noFill/>
            </a:ln>
          </c:spPr>
        </c:title>
        <c:numFmt formatCode="#,##0" sourceLinked="0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5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it-IT"/>
          </a:p>
        </c:txPr>
        <c:crossAx val="61991936"/>
        <c:crosses val="autoZero"/>
        <c:crossBetween val="between"/>
      </c:valAx>
      <c:spPr>
        <a:solidFill>
          <a:srgbClr val="FF99FF"/>
        </a:solidFill>
        <a:ln w="12700">
          <a:solidFill>
            <a:srgbClr val="808080"/>
          </a:solidFill>
          <a:prstDash val="solid"/>
        </a:ln>
      </c:spPr>
    </c:plotArea>
    <c:dispBlanksAs val="gap"/>
  </c:chart>
  <c:spPr>
    <a:solidFill>
      <a:srgbClr val="99CC00"/>
    </a:solidFill>
    <a:ln w="3175">
      <a:solidFill>
        <a:srgbClr val="000000"/>
      </a:solidFill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it-IT"/>
    </a:p>
  </c:txPr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0.10211</cdr:x>
      <cdr:y>0.13927</cdr:y>
    </cdr:from>
    <cdr:to>
      <cdr:x>0.552</cdr:x>
      <cdr:y>0.24614</cdr:y>
    </cdr:to>
    <cdr:sp macro="" textlink="">
      <cdr:nvSpPr>
        <cdr:cNvPr id="2" name="CasellaDiTesto 1"/>
        <cdr:cNvSpPr txBox="1"/>
      </cdr:nvSpPr>
      <cdr:spPr>
        <a:xfrm xmlns:a="http://schemas.openxmlformats.org/drawingml/2006/main">
          <a:off x="863278" y="666457"/>
          <a:ext cx="3803545" cy="51141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it-IT" sz="1100"/>
            <a:t>Tot.</a:t>
          </a:r>
          <a:r>
            <a:rPr lang="it-IT" sz="1100" baseline="0"/>
            <a:t> aumenti al livello nazionale 1996-2013</a:t>
          </a:r>
        </a:p>
        <a:p xmlns:a="http://schemas.openxmlformats.org/drawingml/2006/main">
          <a:r>
            <a:rPr lang="it-IT" sz="1100" baseline="0"/>
            <a:t>+231,22 Euro - pari a +81%	</a:t>
          </a:r>
          <a:endParaRPr lang="it-IT" sz="1100"/>
        </a:p>
      </cdr:txBody>
    </cdr:sp>
  </cdr:relSizeAnchor>
  <cdr:relSizeAnchor xmlns:cdr="http://schemas.openxmlformats.org/drawingml/2006/chartDrawing">
    <cdr:from>
      <cdr:x>0.09664</cdr:x>
      <cdr:y>0.1412</cdr:y>
    </cdr:from>
    <cdr:to>
      <cdr:x>0.4525</cdr:x>
      <cdr:y>0.23626</cdr:y>
    </cdr:to>
    <cdr:sp macro="" textlink="">
      <cdr:nvSpPr>
        <cdr:cNvPr id="8" name="Rettangolo 7"/>
        <cdr:cNvSpPr/>
      </cdr:nvSpPr>
      <cdr:spPr bwMode="auto">
        <a:xfrm xmlns:a="http://schemas.openxmlformats.org/drawingml/2006/main">
          <a:off x="957285" y="796834"/>
          <a:ext cx="3525226" cy="53639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 cap="flat" cmpd="sng" algn="ctr">
          <a:solidFill>
            <a:srgbClr val="000000"/>
          </a:solidFill>
          <a:prstDash val="solid"/>
          <a:round/>
          <a:headEnd type="none" w="med" len="med"/>
          <a:tailEnd type="none" w="med" len="med"/>
        </a:ln>
        <a:effectLst xmlns:a="http://schemas.openxmlformats.org/drawingml/2006/main"/>
      </cdr:spPr>
      <cdr:txBody>
        <a:bodyPr xmlns:a="http://schemas.openxmlformats.org/drawingml/2006/main" vertOverflow="clip" wrap="square" lIns="18288" tIns="0" rIns="0" bIns="0" upright="1"/>
        <a:lstStyle xmlns:a="http://schemas.openxmlformats.org/drawingml/2006/main"/>
        <a:p xmlns:a="http://schemas.openxmlformats.org/drawingml/2006/main">
          <a:endParaRPr lang="it-IT"/>
        </a:p>
      </cdr:txBody>
    </cdr:sp>
  </cdr:relSizeAnchor>
  <cdr:relSizeAnchor xmlns:cdr="http://schemas.openxmlformats.org/drawingml/2006/chartDrawing">
    <cdr:from>
      <cdr:x>0.09664</cdr:x>
      <cdr:y>0.26568</cdr:y>
    </cdr:from>
    <cdr:to>
      <cdr:x>0.46553</cdr:x>
      <cdr:y>0.39809</cdr:y>
    </cdr:to>
    <cdr:sp macro="" textlink="">
      <cdr:nvSpPr>
        <cdr:cNvPr id="9" name="CasellaDiTesto 8"/>
        <cdr:cNvSpPr txBox="1"/>
      </cdr:nvSpPr>
      <cdr:spPr>
        <a:xfrm xmlns:a="http://schemas.openxmlformats.org/drawingml/2006/main">
          <a:off x="817032" y="1271374"/>
          <a:ext cx="3118698" cy="63362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it-IT" sz="1100"/>
            <a:t>Tot.</a:t>
          </a:r>
          <a:r>
            <a:rPr lang="it-IT" sz="1100" baseline="0"/>
            <a:t> aumenti al livello nazionale 2012-2013 (previsioni)</a:t>
          </a:r>
          <a:br>
            <a:rPr lang="it-IT" sz="1100" baseline="0"/>
          </a:br>
          <a:r>
            <a:rPr lang="it-IT" sz="1100" baseline="0"/>
            <a:t>+13,06 Euro - pari a +2,57%</a:t>
          </a:r>
          <a:endParaRPr lang="it-IT" sz="1100"/>
        </a:p>
      </cdr:txBody>
    </cdr:sp>
  </cdr:relSizeAnchor>
  <cdr:relSizeAnchor xmlns:cdr="http://schemas.openxmlformats.org/drawingml/2006/chartDrawing">
    <cdr:from>
      <cdr:x>0.09956</cdr:x>
      <cdr:y>0.26327</cdr:y>
    </cdr:from>
    <cdr:to>
      <cdr:x>0.45561</cdr:x>
      <cdr:y>0.38535</cdr:y>
    </cdr:to>
    <cdr:sp macro="" textlink="">
      <cdr:nvSpPr>
        <cdr:cNvPr id="10" name="Rettangolo 9"/>
        <cdr:cNvSpPr/>
      </cdr:nvSpPr>
      <cdr:spPr bwMode="auto">
        <a:xfrm xmlns:a="http://schemas.openxmlformats.org/drawingml/2006/main">
          <a:off x="841741" y="1259842"/>
          <a:ext cx="3010169" cy="58419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 cap="flat" cmpd="sng" algn="ctr">
          <a:solidFill>
            <a:srgbClr val="000000"/>
          </a:solidFill>
          <a:prstDash val="solid"/>
          <a:round/>
          <a:headEnd type="none" w="med" len="med"/>
          <a:tailEnd type="none" w="med" len="med"/>
        </a:ln>
        <a:effectLst xmlns:a="http://schemas.openxmlformats.org/drawingml/2006/main"/>
      </cdr:spPr>
      <cdr:txBody>
        <a:bodyPr xmlns:a="http://schemas.openxmlformats.org/drawingml/2006/main" vertOverflow="clip" wrap="square" lIns="18288" tIns="0" rIns="0" bIns="0" upright="1"/>
        <a:lstStyle xmlns:a="http://schemas.openxmlformats.org/drawingml/2006/main"/>
        <a:p xmlns:a="http://schemas.openxmlformats.org/drawingml/2006/main">
          <a:endParaRPr lang="it-IT"/>
        </a:p>
      </cdr:txBody>
    </cdr:sp>
  </cdr:relSizeAnchor>
</c:userShape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cp:lastPrinted>2013-05-27T12:40:00Z</cp:lastPrinted>
  <dcterms:created xsi:type="dcterms:W3CDTF">2013-05-27T12:36:00Z</dcterms:created>
  <dcterms:modified xsi:type="dcterms:W3CDTF">2013-05-29T08:52:00Z</dcterms:modified>
</cp:coreProperties>
</file>